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91" w:rsidRPr="00807839" w:rsidRDefault="008C2D91" w:rsidP="008C2D91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Fruticultura Tropical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6878BE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6878BE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Prof. Dr. Evandro Henrique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Schinor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> Características e importância econômica da fruticultura tropical. Planejamento e instalação de pomares. Práticas culturais em fruticultura. Métodos de melhoramento. Principais pragas e doenças. Tecnologia de colheita e pós-colheita de frutas. Comercialização das principais frutíferas de clima tropical: abacate, abacaxi, banana, citros, goiaba, mamão, manga e maracujá.</w:t>
      </w:r>
    </w:p>
    <w:p w:rsidR="00A95829" w:rsidRPr="00807839" w:rsidRDefault="00A95829" w:rsidP="00A95829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C7001" w:rsidRDefault="008C7001" w:rsidP="00A95829">
      <w:pPr>
        <w:ind w:firstLine="0"/>
      </w:pPr>
    </w:p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29"/>
    <w:rsid w:val="007233DE"/>
    <w:rsid w:val="00823591"/>
    <w:rsid w:val="008C2D91"/>
    <w:rsid w:val="008C7001"/>
    <w:rsid w:val="00A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7A6E7-393C-4B7E-B389-FB38063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958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2020-08-11T21:39:00Z</dcterms:created>
  <dcterms:modified xsi:type="dcterms:W3CDTF">2020-08-11T21:39:00Z</dcterms:modified>
</cp:coreProperties>
</file>